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142</w:t>
      </w:r>
    </w:p>
    <w:p>
      <w:r>
        <w:t>Bundesgericht (BGE), 1980-08-19, DE</w:t>
      </w:r>
    </w:p>
    <w:p>
      <w:r>
        <w:rPr>
          <w:b/>
        </w:rPr>
        <w:t xml:space="preserve">Quelle: </w:t>
      </w:r>
      <w:r>
        <w:t>https://mcp.opencaselaw.ch/entscheid/bge_106 IV 142</w:t>
      </w:r>
    </w:p>
    <w:p>
      <w:r>
        <w:t>FR: ATF 106 IV 142</w:t>
      </w:r>
    </w:p>
    <w:p>
      <w:r>
        <w:t>IT: DTF 106 IV 142</w:t>
      </w:r>
    </w:p>
    <w:p>
      <w:pPr>
        <w:pStyle w:val="Heading2"/>
      </w:pPr>
      <w:r>
        <w:t>Regeste</w:t>
      </w:r>
    </w:p>
    <w:p>
      <w:r>
        <w:t>Regeste Art. 90 SVG, Art. 1 StGB. Erfassung von Rotlichtmissachtungen oder Geschwindigkeitsüberschreitungen durch automatische Kamera. Feststellungen darüber, wer das Fahrzeug geführt hat, sind tatsächlicher Natur und können daher mit Nichtigkeitsbeschwerde an das Bundesgericht nicht angefochten werden.</w:t>
      </w:r>
    </w:p>
    <w:p>
      <w:pPr>
        <w:pStyle w:val="Heading2"/>
      </w:pPr>
      <w:r>
        <w:t>Erwägungen</w:t>
      </w:r>
    </w:p>
    <w:p>
      <w:r>
        <w:rPr>
          <w:b/>
        </w:rPr>
        <w:t>E. 2</w:t>
      </w:r>
    </w:p>
    <w:p>
      <w:r>
        <w:t>Die Beschwerdeführerin bestreitet nicht, dass ihr Personenwagen am 29. Februar 1980 bei San Vittore auf der N 13 mit 123 km/h (nach Abzug der Toleranz) eine automatische Radarkontrolle durchfuhr. Gegen die ihr deswegen auferlegte Busse von Fr. 190.-- wendet sie mit der Nichtigkeitsbeschwerde wie schon vor der Vorinstanz ein, nicht sie sei damals am Steuer gewesen, sondern eine mit ihr verwandte Person, die sie nicht bekanntgebe. Sie beruft sich auf BGE 102 IV 256 und behauptet, die Vorinstanz wolle die Durchsetzung der dort vertretenen Rechtsauffassung vereiteln.</w:t>
      </w:r>
    </w:p>
    <w:p>
      <w:r>
        <w:rPr>
          <w:b/>
        </w:rPr>
        <w:t>E. 3</w:t>
      </w:r>
    </w:p>
    <w:p>
      <w:r>
        <w:t>Da das geltende SVG noch keine direkte strafrechtliche Verantwortlichkeit des Halters für Park- und Geschwindigkeitsverstösse von Lenkern kennt, denen er sein Fahrzeug überlassen hat, setzt eine Bestrafung des Halters voraus, dass er selbst das Motorfahrzeug geführt hat. Bei der Abklärung des Sachverhalts sind die allgemein gültigen Grundsätze anzuwenden. Vor allem kann nicht lediglich aufgrund einer nicht näher begründeten Vermutung die Täterschaft des Halters angenommen und diesem der Entlastungsbeweis zugeschoben werden. Auch gelten die Regeln über das Zeugnisverweigerungsrecht. Daraus folgt aber nicht, wie die Beschwerdeführerin und andere Motorfahrzeugführer offenbar annehmen, dass sie sich mit einer blossen Bestreitung ihrer Täterschaft und der nicht spezifizierten Berufung auf ein angeblich bestehendes Zeugnisverweigerungsrecht einer Bestrafung endgültig entziehen können. Es steht dem Sachrichter vielmehr frei, alle Umstände in freier Beweiswürdigung zu prüfen, wobei er allerdings nicht in Willkür verfallen darf. Gelangt er bei dieser Beweiswürdigung zum vertretbaren Ergebnis, dass der Halter entgegen seiner Bestreitung doch zugleich der fehlbare Fahrzeugführer war, so ist die Verurteilung begründet. Sie kann nicht mit Nichtigkeitsbeschwerde an den Kassationshof angefochten werden, sondern höchstens wegen Verletzung von Art. 4 BV mit staatsrechtlicher Beschwerde ( Art. 269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